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481E" w14:textId="2284C729" w:rsidR="0052319F" w:rsidRDefault="009E5D3D" w:rsidP="00FA6BAF">
      <w:pPr>
        <w:pStyle w:val="Heading1"/>
      </w:pPr>
      <w:r>
        <w:t xml:space="preserve">Writing </w:t>
      </w:r>
      <w:r w:rsidR="00A550D5" w:rsidRPr="00FA6BAF">
        <w:t>Learning Outcomes</w:t>
      </w:r>
    </w:p>
    <w:p w14:paraId="1A437411" w14:textId="19629420" w:rsidR="000534E1" w:rsidRDefault="000534E1" w:rsidP="000534E1">
      <w:r w:rsidRPr="000534E1">
        <w:rPr>
          <w:b/>
        </w:rPr>
        <w:t>Course:</w:t>
      </w:r>
      <w:r>
        <w:t xml:space="preserve"> COURSE NAME</w:t>
      </w:r>
    </w:p>
    <w:p w14:paraId="005A8463" w14:textId="3536BB9F" w:rsidR="000534E1" w:rsidRDefault="000534E1" w:rsidP="000534E1">
      <w:r w:rsidRPr="000534E1">
        <w:rPr>
          <w:b/>
        </w:rPr>
        <w:t>Prerequisite:</w:t>
      </w:r>
      <w:r>
        <w:t xml:space="preserve"> None</w:t>
      </w:r>
    </w:p>
    <w:p w14:paraId="0FC89DA7" w14:textId="77777777" w:rsidR="000534E1" w:rsidRPr="000534E1" w:rsidRDefault="000534E1" w:rsidP="000534E1"/>
    <w:p w14:paraId="143F99D7" w14:textId="1A63B531" w:rsidR="0052319F" w:rsidRPr="00047529" w:rsidRDefault="00A550D5" w:rsidP="007615A3">
      <w:r w:rsidRPr="00047529">
        <w:t xml:space="preserve">List 4 - 6 </w:t>
      </w:r>
      <w:r w:rsidR="00465AA1" w:rsidRPr="00465AA1">
        <w:rPr>
          <w:rFonts w:eastAsia="Times New Roman"/>
          <w:lang w:val="en-CA"/>
        </w:rPr>
        <w:t>intended course learning outcomes (CLOs)</w:t>
      </w:r>
      <w:r w:rsidRPr="00047529">
        <w:t xml:space="preserve">. These should reflect the </w:t>
      </w:r>
      <w:r w:rsidR="00C93A06">
        <w:t>concrete skills and abilities that learners will be able to use in the workplace (or home life) after they graduate</w:t>
      </w:r>
      <w:r w:rsidRPr="00047529">
        <w:t xml:space="preserve">. </w:t>
      </w:r>
      <w:r w:rsidR="007B1D99">
        <w:t xml:space="preserve">Optionally, if may </w:t>
      </w:r>
      <w:proofErr w:type="gramStart"/>
      <w:r w:rsidR="007B1D99">
        <w:t>be</w:t>
      </w:r>
      <w:r w:rsidRPr="00047529">
        <w:t xml:space="preserve">  useful</w:t>
      </w:r>
      <w:proofErr w:type="gramEnd"/>
      <w:r w:rsidRPr="00047529">
        <w:t xml:space="preserve"> to think about </w:t>
      </w:r>
      <w:r w:rsidR="007B1D99">
        <w:t xml:space="preserve">progression of mastery or levels, such as </w:t>
      </w:r>
      <w:r w:rsidRPr="00047529">
        <w:t>‘Developing’, ‘Achieved’ and ‘Exceeds’</w:t>
      </w:r>
      <w:r w:rsidR="007B1D99">
        <w:t xml:space="preserve"> to frame your grading practices</w:t>
      </w:r>
      <w:r w:rsidRPr="00047529">
        <w:t xml:space="preserve">. </w:t>
      </w:r>
    </w:p>
    <w:p w14:paraId="66FD9928" w14:textId="77777777" w:rsidR="0052319F" w:rsidRPr="00047529" w:rsidRDefault="0052319F" w:rsidP="007615A3"/>
    <w:p w14:paraId="29E97B62" w14:textId="77777777" w:rsidR="0052319F" w:rsidRPr="00047529" w:rsidRDefault="00A550D5" w:rsidP="007615A3">
      <w:r w:rsidRPr="00047529">
        <w:t>Tips:</w:t>
      </w:r>
    </w:p>
    <w:p w14:paraId="7D2F2EFF" w14:textId="77777777" w:rsidR="0052319F" w:rsidRPr="000534E1" w:rsidRDefault="00A550D5" w:rsidP="007615A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534E1">
        <w:rPr>
          <w:sz w:val="20"/>
          <w:szCs w:val="20"/>
        </w:rPr>
        <w:t>Include action verbs that reflect how these skills and knowledge will be applied in the real world</w:t>
      </w:r>
    </w:p>
    <w:p w14:paraId="162AE905" w14:textId="707B9C7B" w:rsidR="0052319F" w:rsidRPr="000534E1" w:rsidRDefault="00A550D5" w:rsidP="007615A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534E1">
        <w:rPr>
          <w:sz w:val="20"/>
          <w:szCs w:val="20"/>
        </w:rPr>
        <w:t>Be clear about the subject of the outcome and what it is they are learning</w:t>
      </w:r>
      <w:r w:rsidR="00C93A06">
        <w:rPr>
          <w:sz w:val="20"/>
          <w:szCs w:val="20"/>
        </w:rPr>
        <w:t xml:space="preserve"> to do</w:t>
      </w:r>
      <w:r w:rsidRPr="000534E1">
        <w:rPr>
          <w:sz w:val="20"/>
          <w:szCs w:val="20"/>
        </w:rPr>
        <w:t>.</w:t>
      </w:r>
    </w:p>
    <w:p w14:paraId="073A2C60" w14:textId="77777777" w:rsidR="0052319F" w:rsidRPr="000534E1" w:rsidRDefault="00A550D5" w:rsidP="007615A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534E1">
        <w:rPr>
          <w:sz w:val="20"/>
          <w:szCs w:val="20"/>
        </w:rPr>
        <w:t>Include the context of the learning or the main situations in which learners will use these skills and knowledge.</w:t>
      </w:r>
    </w:p>
    <w:p w14:paraId="5DC52442" w14:textId="24A585DA" w:rsidR="0052319F" w:rsidRPr="00C93A06" w:rsidRDefault="00A550D5" w:rsidP="00C93A06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534E1">
        <w:rPr>
          <w:sz w:val="20"/>
          <w:szCs w:val="20"/>
        </w:rPr>
        <w:t xml:space="preserve">Do not underestimate what your learners are capable of. </w:t>
      </w:r>
      <w:r w:rsidR="00C93A06">
        <w:rPr>
          <w:sz w:val="20"/>
          <w:szCs w:val="20"/>
        </w:rPr>
        <w:t>Outcomes based on the r</w:t>
      </w:r>
      <w:r w:rsidRPr="000534E1">
        <w:rPr>
          <w:sz w:val="20"/>
          <w:szCs w:val="20"/>
        </w:rPr>
        <w:t xml:space="preserve">ecall of knowledge such as ‘remember’, ‘understand’, </w:t>
      </w:r>
      <w:r w:rsidRPr="00C93A06">
        <w:rPr>
          <w:sz w:val="20"/>
          <w:szCs w:val="20"/>
        </w:rPr>
        <w:t>‘</w:t>
      </w:r>
      <w:proofErr w:type="spellStart"/>
      <w:r w:rsidRPr="00C93A06">
        <w:rPr>
          <w:sz w:val="20"/>
          <w:szCs w:val="20"/>
        </w:rPr>
        <w:t>define’</w:t>
      </w:r>
      <w:r w:rsidR="00C93A06">
        <w:rPr>
          <w:sz w:val="20"/>
          <w:szCs w:val="20"/>
        </w:rPr>
        <w:t>,’describe</w:t>
      </w:r>
      <w:proofErr w:type="spellEnd"/>
      <w:r w:rsidR="00C93A06">
        <w:rPr>
          <w:sz w:val="20"/>
          <w:szCs w:val="20"/>
        </w:rPr>
        <w:t>’</w:t>
      </w:r>
      <w:r w:rsidRPr="00C93A06">
        <w:rPr>
          <w:sz w:val="20"/>
          <w:szCs w:val="20"/>
        </w:rPr>
        <w:t xml:space="preserve"> and others are often a prerequisite for course </w:t>
      </w:r>
      <w:r w:rsidR="007615A3" w:rsidRPr="00C93A06">
        <w:rPr>
          <w:sz w:val="20"/>
          <w:szCs w:val="20"/>
        </w:rPr>
        <w:t>outcomes and</w:t>
      </w:r>
      <w:r w:rsidRPr="00C93A06">
        <w:rPr>
          <w:sz w:val="20"/>
          <w:szCs w:val="20"/>
        </w:rPr>
        <w:t xml:space="preserve"> may be more appropriate as unit level outcomes.</w:t>
      </w:r>
    </w:p>
    <w:p w14:paraId="5AFF4368" w14:textId="77777777" w:rsidR="0052319F" w:rsidRPr="00047529" w:rsidRDefault="0052319F" w:rsidP="007615A3"/>
    <w:p w14:paraId="4E1691AA" w14:textId="544AD2E4" w:rsidR="000A6A3C" w:rsidRPr="000A6A3C" w:rsidRDefault="00A550D5" w:rsidP="007615A3">
      <w:pPr>
        <w:rPr>
          <w:b/>
          <w:sz w:val="28"/>
          <w:szCs w:val="28"/>
        </w:rPr>
      </w:pPr>
      <w:r w:rsidRPr="000A6A3C">
        <w:rPr>
          <w:b/>
          <w:sz w:val="28"/>
          <w:szCs w:val="28"/>
        </w:rPr>
        <w:t>At the end of this course, you (the learner) will be able to:</w:t>
      </w:r>
    </w:p>
    <w:tbl>
      <w:tblPr>
        <w:tblStyle w:val="a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418"/>
        <w:gridCol w:w="6804"/>
      </w:tblGrid>
      <w:tr w:rsidR="00465AA1" w:rsidRPr="00047529" w14:paraId="347BC8B5" w14:textId="77777777" w:rsidTr="000534E1">
        <w:tc>
          <w:tcPr>
            <w:tcW w:w="113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915E" w14:textId="77777777" w:rsidR="00465AA1" w:rsidRPr="00047529" w:rsidRDefault="00465AA1" w:rsidP="007615A3"/>
        </w:tc>
        <w:tc>
          <w:tcPr>
            <w:tcW w:w="141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80F7" w14:textId="77777777" w:rsidR="00465AA1" w:rsidRPr="00047529" w:rsidRDefault="00465AA1" w:rsidP="007615A3">
            <w:r w:rsidRPr="00047529">
              <w:t>Action Verb</w:t>
            </w:r>
          </w:p>
        </w:tc>
        <w:tc>
          <w:tcPr>
            <w:tcW w:w="680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B3E5" w14:textId="77777777" w:rsidR="00465AA1" w:rsidRDefault="00465AA1" w:rsidP="00465AA1">
            <w:r>
              <w:t xml:space="preserve">Application of skill, knowledge or attribute (What will they do?) </w:t>
            </w:r>
          </w:p>
          <w:p w14:paraId="1C1C57F4" w14:textId="4F071E53" w:rsidR="00465AA1" w:rsidRPr="00047529" w:rsidRDefault="00465AA1" w:rsidP="00465AA1">
            <w:r>
              <w:t>Context (in what situation?)</w:t>
            </w:r>
          </w:p>
        </w:tc>
      </w:tr>
      <w:tr w:rsidR="00465AA1" w:rsidRPr="00047529" w14:paraId="168C3F27" w14:textId="77777777" w:rsidTr="000534E1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A03F" w14:textId="4025346C" w:rsidR="00465AA1" w:rsidRPr="00047529" w:rsidRDefault="00465AA1" w:rsidP="007615A3">
            <w:r>
              <w:t>CLO</w:t>
            </w:r>
            <w:r w:rsidRPr="00047529"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5838" w14:textId="77777777" w:rsidR="00465AA1" w:rsidRPr="00047529" w:rsidRDefault="00465AA1" w:rsidP="007615A3"/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3330" w14:textId="77777777" w:rsidR="00465AA1" w:rsidRPr="00047529" w:rsidRDefault="00465AA1" w:rsidP="007615A3"/>
        </w:tc>
      </w:tr>
      <w:tr w:rsidR="00465AA1" w:rsidRPr="00047529" w14:paraId="308BDB14" w14:textId="77777777" w:rsidTr="000534E1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7A69" w14:textId="0A9E21D1" w:rsidR="00465AA1" w:rsidRPr="00047529" w:rsidRDefault="00465AA1" w:rsidP="007615A3">
            <w:r>
              <w:t>CLO</w:t>
            </w:r>
            <w:r w:rsidRPr="00047529">
              <w:t>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7CD4E" w14:textId="77777777" w:rsidR="00465AA1" w:rsidRPr="00047529" w:rsidRDefault="00465AA1" w:rsidP="007615A3"/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2E42" w14:textId="77777777" w:rsidR="00465AA1" w:rsidRPr="00047529" w:rsidRDefault="00465AA1" w:rsidP="007615A3"/>
        </w:tc>
      </w:tr>
      <w:tr w:rsidR="00465AA1" w:rsidRPr="00047529" w14:paraId="2C9F1827" w14:textId="77777777" w:rsidTr="000534E1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6C01" w14:textId="5D84775C" w:rsidR="00465AA1" w:rsidRPr="00047529" w:rsidRDefault="00465AA1" w:rsidP="007615A3">
            <w:r>
              <w:t>CLO</w:t>
            </w:r>
            <w:r w:rsidRPr="00047529">
              <w:t>3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1EC2" w14:textId="77777777" w:rsidR="00465AA1" w:rsidRPr="00047529" w:rsidRDefault="00465AA1" w:rsidP="007615A3"/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BB63" w14:textId="77777777" w:rsidR="00465AA1" w:rsidRPr="00047529" w:rsidRDefault="00465AA1" w:rsidP="007615A3"/>
        </w:tc>
      </w:tr>
      <w:tr w:rsidR="00465AA1" w:rsidRPr="00047529" w14:paraId="53810CB4" w14:textId="77777777" w:rsidTr="000534E1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49A3" w14:textId="384954BB" w:rsidR="00465AA1" w:rsidRPr="00047529" w:rsidRDefault="00465AA1" w:rsidP="007615A3">
            <w:r>
              <w:t>CLO</w:t>
            </w:r>
            <w:r w:rsidRPr="00047529"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D845" w14:textId="77777777" w:rsidR="00465AA1" w:rsidRPr="00047529" w:rsidRDefault="00465AA1" w:rsidP="007615A3"/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91D5" w14:textId="77777777" w:rsidR="00465AA1" w:rsidRPr="00047529" w:rsidRDefault="00465AA1" w:rsidP="007615A3"/>
        </w:tc>
      </w:tr>
      <w:tr w:rsidR="00465AA1" w:rsidRPr="00047529" w14:paraId="3DC5941F" w14:textId="77777777" w:rsidTr="000534E1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49AF" w14:textId="3E2962CD" w:rsidR="00465AA1" w:rsidRPr="00047529" w:rsidRDefault="00465AA1" w:rsidP="007615A3">
            <w:r>
              <w:t>CLO</w:t>
            </w:r>
            <w:r w:rsidRPr="00047529">
              <w:t>5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6E74" w14:textId="77777777" w:rsidR="00465AA1" w:rsidRPr="00047529" w:rsidRDefault="00465AA1" w:rsidP="007615A3"/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349A" w14:textId="77777777" w:rsidR="00465AA1" w:rsidRPr="00047529" w:rsidRDefault="00465AA1" w:rsidP="007615A3"/>
        </w:tc>
      </w:tr>
      <w:tr w:rsidR="00465AA1" w:rsidRPr="00047529" w14:paraId="092B604F" w14:textId="77777777" w:rsidTr="000534E1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4499" w14:textId="788CA9FC" w:rsidR="00465AA1" w:rsidRPr="00047529" w:rsidRDefault="00465AA1" w:rsidP="007615A3">
            <w:r>
              <w:t>CLO</w:t>
            </w:r>
            <w:r w:rsidRPr="00047529">
              <w:t>6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8B88" w14:textId="77777777" w:rsidR="00465AA1" w:rsidRPr="00047529" w:rsidRDefault="00465AA1" w:rsidP="007615A3"/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B41B" w14:textId="77777777" w:rsidR="00465AA1" w:rsidRPr="00047529" w:rsidRDefault="00465AA1" w:rsidP="007615A3"/>
        </w:tc>
      </w:tr>
      <w:tr w:rsidR="00465AA1" w:rsidRPr="00047529" w14:paraId="3CDD1970" w14:textId="77777777" w:rsidTr="000534E1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22F5" w14:textId="77777777" w:rsidR="00465AA1" w:rsidRPr="000534E1" w:rsidRDefault="00465AA1" w:rsidP="00465AA1">
            <w:pPr>
              <w:rPr>
                <w:sz w:val="20"/>
                <w:szCs w:val="20"/>
              </w:rPr>
            </w:pPr>
            <w:r w:rsidRPr="000534E1">
              <w:rPr>
                <w:color w:val="999999"/>
                <w:sz w:val="20"/>
                <w:szCs w:val="20"/>
              </w:rPr>
              <w:t>Example</w:t>
            </w:r>
          </w:p>
          <w:p w14:paraId="40181D2F" w14:textId="77777777" w:rsidR="00465AA1" w:rsidRPr="000534E1" w:rsidRDefault="00465AA1" w:rsidP="00465A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F7F1" w14:textId="77777777" w:rsidR="00465AA1" w:rsidRPr="000534E1" w:rsidRDefault="00465AA1" w:rsidP="00465AA1">
            <w:pPr>
              <w:rPr>
                <w:sz w:val="20"/>
                <w:szCs w:val="20"/>
              </w:rPr>
            </w:pPr>
            <w:r w:rsidRPr="000534E1">
              <w:rPr>
                <w:color w:val="999999"/>
                <w:sz w:val="20"/>
                <w:szCs w:val="20"/>
              </w:rPr>
              <w:t>Develop</w:t>
            </w:r>
          </w:p>
          <w:p w14:paraId="78246A04" w14:textId="77777777" w:rsidR="00465AA1" w:rsidRPr="000534E1" w:rsidRDefault="00465AA1" w:rsidP="00465AA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0268" w14:textId="1E54CFCF" w:rsidR="00465AA1" w:rsidRPr="000534E1" w:rsidRDefault="00465AA1" w:rsidP="00465AA1">
            <w:pPr>
              <w:rPr>
                <w:sz w:val="20"/>
                <w:szCs w:val="20"/>
              </w:rPr>
            </w:pPr>
            <w:r w:rsidRPr="000534E1">
              <w:rPr>
                <w:color w:val="999999"/>
                <w:sz w:val="20"/>
                <w:szCs w:val="20"/>
              </w:rPr>
              <w:t xml:space="preserve">a detailed unit of learning (lessons, assessments content) in the subject area of your choice, including a rationale for activities and assessments based on appropriate application of specific learning theories. </w:t>
            </w:r>
          </w:p>
        </w:tc>
      </w:tr>
    </w:tbl>
    <w:p w14:paraId="7342312B" w14:textId="77777777" w:rsidR="0052319F" w:rsidRPr="00047529" w:rsidRDefault="0052319F" w:rsidP="007615A3"/>
    <w:p w14:paraId="4D65336F" w14:textId="45E6CA53" w:rsidR="0052319F" w:rsidRDefault="00BB76CA" w:rsidP="007615A3">
      <w:r>
        <w:t>Additional Learning outcomes, such as academic or soft skills not otherwise articulated.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76CA" w14:paraId="1F61AAC2" w14:textId="77777777" w:rsidTr="000534E1">
        <w:trPr>
          <w:trHeight w:val="937"/>
        </w:trPr>
        <w:tc>
          <w:tcPr>
            <w:tcW w:w="9350" w:type="dxa"/>
          </w:tcPr>
          <w:p w14:paraId="0320E0EE" w14:textId="77777777" w:rsidR="00BB76CA" w:rsidRDefault="00BB76CA" w:rsidP="00761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7974C647" w14:textId="77777777" w:rsidR="00B03825" w:rsidRPr="00047529" w:rsidRDefault="00B03825" w:rsidP="00F82472"/>
    <w:p w14:paraId="0FE7858F" w14:textId="77777777" w:rsidR="00B03825" w:rsidRPr="00047529" w:rsidRDefault="00B03825" w:rsidP="00F82472"/>
    <w:p w14:paraId="2370C8AD" w14:textId="77777777" w:rsidR="000534E1" w:rsidRDefault="00A550D5" w:rsidP="00F82472">
      <w:pPr>
        <w:rPr>
          <w:color w:val="1155CC"/>
          <w:u w:val="single"/>
        </w:rPr>
      </w:pPr>
      <w:r w:rsidRPr="00047529">
        <w:t>Further Reading:</w:t>
      </w:r>
      <w:r w:rsidRPr="00047529">
        <w:br/>
        <w:t xml:space="preserve">UNSW Learning Outcomes Guide (example outcomes included) - </w:t>
      </w:r>
      <w:hyperlink r:id="rId7">
        <w:r w:rsidRPr="00047529">
          <w:rPr>
            <w:color w:val="1155CC"/>
            <w:u w:val="single"/>
          </w:rPr>
          <w:t>https://teaching.unsw.edu.au/log</w:t>
        </w:r>
      </w:hyperlink>
    </w:p>
    <w:p w14:paraId="06E7BDDB" w14:textId="77777777" w:rsidR="000534E1" w:rsidRDefault="000534E1">
      <w:pPr>
        <w:rPr>
          <w:color w:val="1155CC"/>
          <w:u w:val="single"/>
        </w:rPr>
      </w:pPr>
      <w:r>
        <w:rPr>
          <w:color w:val="1155CC"/>
          <w:u w:val="single"/>
        </w:rPr>
        <w:br w:type="page"/>
      </w:r>
    </w:p>
    <w:p w14:paraId="447E0229" w14:textId="6D5B5B69" w:rsidR="000534E1" w:rsidRDefault="000534E1" w:rsidP="000534E1">
      <w:pPr>
        <w:pStyle w:val="Heading1"/>
      </w:pPr>
      <w:r>
        <w:lastRenderedPageBreak/>
        <w:t>Unit / Module</w:t>
      </w:r>
      <w:r w:rsidRPr="00FA6BAF">
        <w:t xml:space="preserve"> Learning Outcomes</w:t>
      </w:r>
    </w:p>
    <w:p w14:paraId="7BB51A4D" w14:textId="410AA0A0" w:rsidR="00486F70" w:rsidRDefault="00872274" w:rsidP="00F82472">
      <w:r>
        <w:t>L</w:t>
      </w:r>
      <w:r w:rsidR="00486F70">
        <w:t xml:space="preserve">earning outcomes </w:t>
      </w:r>
      <w:r w:rsidR="008F4B05">
        <w:t>can live within</w:t>
      </w:r>
      <w:r w:rsidR="00486F70">
        <w:t xml:space="preserve"> a hierarchy to support different subsections of your course</w:t>
      </w:r>
      <w:r w:rsidR="00C93A06">
        <w:t xml:space="preserve"> over time</w:t>
      </w:r>
      <w:r w:rsidR="00486F70">
        <w:t>. If you break your course into units or modules or even weeks,</w:t>
      </w:r>
      <w:r w:rsidR="00C93A06">
        <w:t xml:space="preserve"> it is recommended this should not be done based on con</w:t>
      </w:r>
      <w:r w:rsidR="007B1D99">
        <w:t>t</w:t>
      </w:r>
      <w:r w:rsidR="00C93A06">
        <w:t xml:space="preserve">ent such as chapters in a </w:t>
      </w:r>
      <w:r w:rsidR="007B1D99">
        <w:t>text</w:t>
      </w:r>
      <w:r w:rsidR="00C93A06">
        <w:t>book, but in service to mastery of course learning outcomes (CLOs)</w:t>
      </w:r>
      <w:r w:rsidR="007B1D99">
        <w:t xml:space="preserve"> over time</w:t>
      </w:r>
      <w:r w:rsidR="00C93A06">
        <w:t>.</w:t>
      </w:r>
      <w:r w:rsidR="00486F70">
        <w:t xml:space="preserve"> To achieve </w:t>
      </w:r>
      <w:r w:rsidR="007B1D99">
        <w:t>mastery</w:t>
      </w:r>
      <w:r w:rsidR="00486F70">
        <w:t xml:space="preserve"> in </w:t>
      </w:r>
      <w:r w:rsidR="007B1D99">
        <w:t>CLOs</w:t>
      </w:r>
      <w:r w:rsidR="00486F70">
        <w:t xml:space="preserve">, </w:t>
      </w:r>
      <w:r w:rsidR="007B1D99">
        <w:t>learners</w:t>
      </w:r>
      <w:r w:rsidR="00486F70">
        <w:t xml:space="preserve"> need to start somewhere, so </w:t>
      </w:r>
      <w:r w:rsidR="008F4B05">
        <w:t>u</w:t>
      </w:r>
      <w:r w:rsidR="00486F70">
        <w:t>nit/</w:t>
      </w:r>
      <w:r w:rsidR="008F4B05">
        <w:t>m</w:t>
      </w:r>
      <w:r w:rsidR="00486F70">
        <w:t>odule/</w:t>
      </w:r>
      <w:r w:rsidR="008F4B05">
        <w:t>w</w:t>
      </w:r>
      <w:r w:rsidR="00486F70">
        <w:t>eek learning outcomes can include lower level action verbs, such as ‘understand’, ‘define’, ‘interpret’ and so on.</w:t>
      </w:r>
      <w:r w:rsidR="008F4B05">
        <w:t xml:space="preserve"> </w:t>
      </w:r>
      <w:r w:rsidR="007B1D99">
        <w:t>Note that mastery of unit and course learning outcomes will help to guide the design of summative and formative assessment</w:t>
      </w:r>
      <w:r w:rsidR="008F4B05">
        <w:t>s</w:t>
      </w:r>
      <w:r w:rsidR="007B1D99">
        <w:t>.</w:t>
      </w:r>
    </w:p>
    <w:p w14:paraId="7436DC7D" w14:textId="77B59387" w:rsidR="007B1D99" w:rsidRDefault="007B1D99" w:rsidP="00F82472"/>
    <w:p w14:paraId="0BE9A672" w14:textId="0A69B4C9" w:rsidR="007B1D99" w:rsidRDefault="008F4B05" w:rsidP="00F82472">
      <w: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1D99" w14:paraId="50DB8395" w14:textId="77777777" w:rsidTr="008F4B05">
        <w:tc>
          <w:tcPr>
            <w:tcW w:w="9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0BA8B7" w14:textId="1BE6AFD1" w:rsidR="007B1D99" w:rsidRPr="008F4B05" w:rsidRDefault="007B1D99" w:rsidP="00872274">
            <w:pPr>
              <w:pStyle w:val="ListParagraph"/>
              <w:numPr>
                <w:ilvl w:val="0"/>
                <w:numId w:val="15"/>
              </w:numPr>
              <w:spacing w:before="120" w:after="120"/>
              <w:ind w:left="714" w:hanging="357"/>
              <w:rPr>
                <w:color w:val="808080" w:themeColor="background1" w:themeShade="80"/>
                <w:sz w:val="20"/>
                <w:szCs w:val="20"/>
              </w:rPr>
            </w:pPr>
            <w:r w:rsidRPr="008F4B05">
              <w:rPr>
                <w:color w:val="808080" w:themeColor="background1" w:themeShade="80"/>
                <w:sz w:val="20"/>
                <w:szCs w:val="20"/>
              </w:rPr>
              <w:t>CLO1: Develop a detailed unit of learning (lessons, assessments content) in the subject area of your choice, including a rationale for activities and assessments based on appropriate application of specific learning theories.</w:t>
            </w:r>
          </w:p>
          <w:p w14:paraId="7BF3AA28" w14:textId="06CD6A77" w:rsidR="00872274" w:rsidRPr="008F4B05" w:rsidRDefault="00872274" w:rsidP="00872274">
            <w:pPr>
              <w:pStyle w:val="ListParagraph"/>
              <w:numPr>
                <w:ilvl w:val="1"/>
                <w:numId w:val="15"/>
              </w:numPr>
              <w:spacing w:before="120" w:after="120"/>
              <w:rPr>
                <w:color w:val="808080" w:themeColor="background1" w:themeShade="80"/>
                <w:sz w:val="20"/>
                <w:szCs w:val="20"/>
              </w:rPr>
            </w:pPr>
            <w:r w:rsidRPr="008F4B05">
              <w:rPr>
                <w:color w:val="808080" w:themeColor="background1" w:themeShade="80"/>
                <w:sz w:val="20"/>
                <w:szCs w:val="20"/>
              </w:rPr>
              <w:t>ULO1:</w:t>
            </w:r>
          </w:p>
          <w:p w14:paraId="1179FB0D" w14:textId="1A06F025" w:rsidR="00872274" w:rsidRPr="008F4B05" w:rsidRDefault="00872274" w:rsidP="00872274">
            <w:pPr>
              <w:pStyle w:val="ListParagraph"/>
              <w:numPr>
                <w:ilvl w:val="1"/>
                <w:numId w:val="15"/>
              </w:numPr>
              <w:spacing w:before="120" w:after="120"/>
              <w:rPr>
                <w:color w:val="808080" w:themeColor="background1" w:themeShade="80"/>
                <w:sz w:val="20"/>
                <w:szCs w:val="20"/>
              </w:rPr>
            </w:pPr>
            <w:r w:rsidRPr="008F4B05">
              <w:rPr>
                <w:color w:val="808080" w:themeColor="background1" w:themeShade="80"/>
                <w:sz w:val="20"/>
                <w:szCs w:val="20"/>
              </w:rPr>
              <w:t>ULO2:</w:t>
            </w:r>
          </w:p>
          <w:p w14:paraId="5E51FD27" w14:textId="77777777" w:rsidR="008F4B05" w:rsidRDefault="00872274" w:rsidP="008F4B05">
            <w:pPr>
              <w:pStyle w:val="ListParagraph"/>
              <w:numPr>
                <w:ilvl w:val="1"/>
                <w:numId w:val="15"/>
              </w:numPr>
              <w:spacing w:before="120" w:after="120"/>
              <w:rPr>
                <w:color w:val="808080" w:themeColor="background1" w:themeShade="80"/>
                <w:sz w:val="20"/>
                <w:szCs w:val="20"/>
              </w:rPr>
            </w:pPr>
            <w:r w:rsidRPr="008F4B05">
              <w:rPr>
                <w:color w:val="808080" w:themeColor="background1" w:themeShade="80"/>
                <w:sz w:val="20"/>
                <w:szCs w:val="20"/>
              </w:rPr>
              <w:t>ULO3:</w:t>
            </w:r>
          </w:p>
          <w:p w14:paraId="2E821E92" w14:textId="7CDA5092" w:rsidR="007B1D99" w:rsidRPr="008F4B05" w:rsidRDefault="00872274" w:rsidP="008F4B05">
            <w:pPr>
              <w:pStyle w:val="ListParagraph"/>
              <w:numPr>
                <w:ilvl w:val="1"/>
                <w:numId w:val="15"/>
              </w:numPr>
              <w:spacing w:before="120" w:after="120"/>
              <w:rPr>
                <w:color w:val="808080" w:themeColor="background1" w:themeShade="80"/>
                <w:sz w:val="20"/>
                <w:szCs w:val="20"/>
              </w:rPr>
            </w:pPr>
            <w:r w:rsidRPr="008F4B05">
              <w:rPr>
                <w:color w:val="808080" w:themeColor="background1" w:themeShade="80"/>
                <w:sz w:val="20"/>
                <w:szCs w:val="20"/>
              </w:rPr>
              <w:t>ULO4:</w:t>
            </w:r>
          </w:p>
        </w:tc>
      </w:tr>
    </w:tbl>
    <w:p w14:paraId="0651D099" w14:textId="33D5A3AC" w:rsidR="00D434A1" w:rsidRPr="00047529" w:rsidRDefault="00D434A1" w:rsidP="008F4B05">
      <w:bookmarkStart w:id="0" w:name="_56z5hssdmvh9" w:colFirst="0" w:colLast="0"/>
      <w:bookmarkStart w:id="1" w:name="_xddatk1epe55" w:colFirst="0" w:colLast="0"/>
      <w:bookmarkStart w:id="2" w:name="_GoBack"/>
      <w:bookmarkEnd w:id="0"/>
      <w:bookmarkEnd w:id="1"/>
      <w:bookmarkEnd w:id="2"/>
    </w:p>
    <w:sectPr w:rsidR="00D434A1" w:rsidRPr="00047529" w:rsidSect="00053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42" w:right="1440" w:bottom="108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E2F46" w14:textId="77777777" w:rsidR="00143ED2" w:rsidRDefault="00143ED2" w:rsidP="007615A3">
      <w:r>
        <w:separator/>
      </w:r>
    </w:p>
  </w:endnote>
  <w:endnote w:type="continuationSeparator" w:id="0">
    <w:p w14:paraId="7840E1BD" w14:textId="77777777" w:rsidR="00143ED2" w:rsidRDefault="00143ED2" w:rsidP="0076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E83D" w14:textId="77777777" w:rsidR="00E51A49" w:rsidRDefault="00E51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6A51" w14:textId="7B54BDE8" w:rsidR="008F4B05" w:rsidRPr="00B81819" w:rsidRDefault="00E51A49" w:rsidP="008F4B05">
    <w:pPr>
      <w:pStyle w:val="Footer"/>
      <w:rPr>
        <w:lang w:val="en-US"/>
      </w:rPr>
    </w:pPr>
    <w:r>
      <w:rPr>
        <w:lang w:val="en-US"/>
      </w:rPr>
      <w:t>WRITING LEARNING OUTCOMES</w:t>
    </w:r>
    <w:r w:rsidR="008F4B05">
      <w:rPr>
        <w:lang w:val="en-US"/>
      </w:rPr>
      <w:t xml:space="preserve"> &gt; Planning Assessments </w:t>
    </w:r>
    <w:r>
      <w:rPr>
        <w:lang w:val="en-US"/>
      </w:rPr>
      <w:t>&amp;</w:t>
    </w:r>
    <w:r w:rsidR="008F4B05">
      <w:rPr>
        <w:lang w:val="en-US"/>
      </w:rPr>
      <w:t xml:space="preserve"> Activities &gt; Constructive Alignment</w:t>
    </w:r>
  </w:p>
  <w:p w14:paraId="5A794ABC" w14:textId="77777777" w:rsidR="008F4B05" w:rsidRDefault="008F4B05" w:rsidP="007615A3">
    <w:pPr>
      <w:pStyle w:val="Footer"/>
      <w:rPr>
        <w:lang w:val="en-US"/>
      </w:rPr>
    </w:pPr>
  </w:p>
  <w:p w14:paraId="2DCE6BAC" w14:textId="62ED4BE8" w:rsidR="006328E3" w:rsidRPr="008F4B05" w:rsidRDefault="00B81819" w:rsidP="008F4B05">
    <w:pPr>
      <w:pStyle w:val="Footer"/>
      <w:jc w:val="right"/>
      <w:rPr>
        <w:sz w:val="16"/>
        <w:szCs w:val="16"/>
        <w:lang w:val="en-US"/>
      </w:rPr>
    </w:pPr>
    <w:r w:rsidRPr="008F4B05">
      <w:rPr>
        <w:sz w:val="16"/>
        <w:szCs w:val="16"/>
        <w:lang w:val="en-US"/>
      </w:rPr>
      <w:t>ETS</w:t>
    </w:r>
    <w:r w:rsidR="00E51A49">
      <w:rPr>
        <w:sz w:val="16"/>
        <w:szCs w:val="16"/>
        <w:lang w:val="en-US"/>
      </w:rPr>
      <w:t>WritingLearning</w:t>
    </w:r>
    <w:r w:rsidR="00474D2A" w:rsidRPr="008F4B05">
      <w:rPr>
        <w:sz w:val="16"/>
        <w:szCs w:val="16"/>
        <w:lang w:val="en-US"/>
      </w:rPr>
      <w:t>Outcomes0601</w:t>
    </w:r>
    <w:r w:rsidRPr="008F4B05">
      <w:rPr>
        <w:sz w:val="16"/>
        <w:szCs w:val="16"/>
        <w:lang w:val="en-US"/>
      </w:rPr>
      <w:t>2018SS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DA3E" w14:textId="77777777" w:rsidR="00E51A49" w:rsidRDefault="00E51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3A88A" w14:textId="77777777" w:rsidR="00143ED2" w:rsidRDefault="00143ED2" w:rsidP="007615A3">
      <w:r>
        <w:separator/>
      </w:r>
    </w:p>
  </w:footnote>
  <w:footnote w:type="continuationSeparator" w:id="0">
    <w:p w14:paraId="5F3C9C35" w14:textId="77777777" w:rsidR="00143ED2" w:rsidRDefault="00143ED2" w:rsidP="0076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76C10" w14:textId="77777777" w:rsidR="006328E3" w:rsidRDefault="00143ED2" w:rsidP="007615A3">
    <w:pPr>
      <w:pStyle w:val="Header"/>
    </w:pPr>
    <w:r>
      <w:rPr>
        <w:noProof/>
      </w:rPr>
      <w:pict w14:anchorId="69F5DE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062782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A85A" w14:textId="77777777" w:rsidR="006328E3" w:rsidRDefault="00143ED2" w:rsidP="007615A3">
    <w:pPr>
      <w:pStyle w:val="Header"/>
    </w:pPr>
    <w:r>
      <w:rPr>
        <w:noProof/>
      </w:rPr>
      <w:pict w14:anchorId="4995D1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062783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FF6EE" w14:textId="77777777" w:rsidR="006328E3" w:rsidRDefault="00143ED2" w:rsidP="007615A3">
    <w:pPr>
      <w:pStyle w:val="Header"/>
    </w:pPr>
    <w:r>
      <w:rPr>
        <w:noProof/>
      </w:rPr>
      <w:pict w14:anchorId="55FB33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062781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BE6"/>
    <w:multiLevelType w:val="multilevel"/>
    <w:tmpl w:val="B3B49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7E5B69"/>
    <w:multiLevelType w:val="multilevel"/>
    <w:tmpl w:val="0C4C3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5278E6"/>
    <w:multiLevelType w:val="hybridMultilevel"/>
    <w:tmpl w:val="BD62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94F45"/>
    <w:multiLevelType w:val="multilevel"/>
    <w:tmpl w:val="C49AC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6B16F6"/>
    <w:multiLevelType w:val="multilevel"/>
    <w:tmpl w:val="25C6A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FA14D2"/>
    <w:multiLevelType w:val="multilevel"/>
    <w:tmpl w:val="0646F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5261A9"/>
    <w:multiLevelType w:val="multilevel"/>
    <w:tmpl w:val="CFB01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6C2693"/>
    <w:multiLevelType w:val="multilevel"/>
    <w:tmpl w:val="22E07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5D3971"/>
    <w:multiLevelType w:val="hybridMultilevel"/>
    <w:tmpl w:val="D6AC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0506F"/>
    <w:multiLevelType w:val="multilevel"/>
    <w:tmpl w:val="E56E6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0B5FD3"/>
    <w:multiLevelType w:val="hybridMultilevel"/>
    <w:tmpl w:val="CB1E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F0C9E"/>
    <w:multiLevelType w:val="multilevel"/>
    <w:tmpl w:val="905C8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AA520E"/>
    <w:multiLevelType w:val="multilevel"/>
    <w:tmpl w:val="79D43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08D2961"/>
    <w:multiLevelType w:val="multilevel"/>
    <w:tmpl w:val="35E29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961FF9"/>
    <w:multiLevelType w:val="hybridMultilevel"/>
    <w:tmpl w:val="7A26A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9F"/>
    <w:rsid w:val="00047529"/>
    <w:rsid w:val="000534E1"/>
    <w:rsid w:val="000A6A3C"/>
    <w:rsid w:val="001345C9"/>
    <w:rsid w:val="00137743"/>
    <w:rsid w:val="00143ED2"/>
    <w:rsid w:val="0015213A"/>
    <w:rsid w:val="001C2F70"/>
    <w:rsid w:val="001E2F65"/>
    <w:rsid w:val="002A6D7B"/>
    <w:rsid w:val="00312508"/>
    <w:rsid w:val="00317729"/>
    <w:rsid w:val="00362715"/>
    <w:rsid w:val="00385D3F"/>
    <w:rsid w:val="003E1D6F"/>
    <w:rsid w:val="003E6FF9"/>
    <w:rsid w:val="003F1164"/>
    <w:rsid w:val="003F7270"/>
    <w:rsid w:val="00437250"/>
    <w:rsid w:val="00465AA1"/>
    <w:rsid w:val="00474D2A"/>
    <w:rsid w:val="00486F70"/>
    <w:rsid w:val="0052319F"/>
    <w:rsid w:val="006328E3"/>
    <w:rsid w:val="0069133C"/>
    <w:rsid w:val="007251C1"/>
    <w:rsid w:val="007615A3"/>
    <w:rsid w:val="00790B35"/>
    <w:rsid w:val="007B1D99"/>
    <w:rsid w:val="007C7E26"/>
    <w:rsid w:val="00872274"/>
    <w:rsid w:val="008C1ECD"/>
    <w:rsid w:val="008F4B05"/>
    <w:rsid w:val="0097489E"/>
    <w:rsid w:val="0098044B"/>
    <w:rsid w:val="009A1066"/>
    <w:rsid w:val="009E5D3D"/>
    <w:rsid w:val="00A550D5"/>
    <w:rsid w:val="00AB6652"/>
    <w:rsid w:val="00AF1B94"/>
    <w:rsid w:val="00B03825"/>
    <w:rsid w:val="00B81819"/>
    <w:rsid w:val="00B90B36"/>
    <w:rsid w:val="00B93BEC"/>
    <w:rsid w:val="00BB76CA"/>
    <w:rsid w:val="00C02D12"/>
    <w:rsid w:val="00C90796"/>
    <w:rsid w:val="00C93A06"/>
    <w:rsid w:val="00CD41B1"/>
    <w:rsid w:val="00D434A1"/>
    <w:rsid w:val="00DF67E2"/>
    <w:rsid w:val="00E51A49"/>
    <w:rsid w:val="00E6305F"/>
    <w:rsid w:val="00EB0275"/>
    <w:rsid w:val="00EB187F"/>
    <w:rsid w:val="00F82472"/>
    <w:rsid w:val="00F8722C"/>
    <w:rsid w:val="00FA6BAF"/>
    <w:rsid w:val="00F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31780F"/>
  <w15:docId w15:val="{5DFC3884-8120-F24D-A326-A74EDA1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615A3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rsid w:val="00FA6BAF"/>
    <w:pPr>
      <w:keepNext/>
      <w:keepLines/>
      <w:spacing w:before="12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03825"/>
    <w:pPr>
      <w:ind w:left="720"/>
      <w:contextualSpacing/>
    </w:pPr>
  </w:style>
  <w:style w:type="table" w:styleId="TableGrid">
    <w:name w:val="Table Grid"/>
    <w:basedOn w:val="TableNormal"/>
    <w:uiPriority w:val="39"/>
    <w:rsid w:val="00B038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038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038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D434A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434A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8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E3"/>
  </w:style>
  <w:style w:type="paragraph" w:styleId="Footer">
    <w:name w:val="footer"/>
    <w:basedOn w:val="Normal"/>
    <w:link w:val="FooterChar"/>
    <w:uiPriority w:val="99"/>
    <w:unhideWhenUsed/>
    <w:rsid w:val="006328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E3"/>
  </w:style>
  <w:style w:type="paragraph" w:styleId="NormalWeb">
    <w:name w:val="Normal (Web)"/>
    <w:basedOn w:val="Normal"/>
    <w:uiPriority w:val="99"/>
    <w:semiHidden/>
    <w:unhideWhenUsed/>
    <w:rsid w:val="001345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Theme="minorEastAsia"/>
      <w:color w:val="auto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aching.unsw.edu.au/lo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Martyn Sepp</cp:lastModifiedBy>
  <cp:revision>34</cp:revision>
  <dcterms:created xsi:type="dcterms:W3CDTF">2018-04-09T16:29:00Z</dcterms:created>
  <dcterms:modified xsi:type="dcterms:W3CDTF">2018-06-18T18:48:00Z</dcterms:modified>
</cp:coreProperties>
</file>